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CC41F5"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5E58A7" w:rsidP="00075CBB">
            <w:pPr>
              <w:pStyle w:val="Infotext"/>
              <w:tabs>
                <w:tab w:val="left" w:pos="1086"/>
              </w:tabs>
              <w:rPr>
                <w:rFonts w:cs="Arial"/>
              </w:rPr>
            </w:pPr>
            <w:r>
              <w:rPr>
                <w:rFonts w:cs="Arial"/>
              </w:rPr>
              <w:t>4 June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5E58A7">
            <w:pPr>
              <w:pStyle w:val="Infotext"/>
              <w:rPr>
                <w:rFonts w:cs="Arial"/>
              </w:rPr>
            </w:pPr>
            <w:r>
              <w:rPr>
                <w:rFonts w:cs="Arial"/>
              </w:rPr>
              <w:t>Scrutiny Review into Preventing Youth Violence</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115F22">
            <w:pPr>
              <w:pStyle w:val="Infotext"/>
              <w:rPr>
                <w:rFonts w:cs="Arial"/>
              </w:rPr>
            </w:pPr>
            <w:r>
              <w:rPr>
                <w:rFonts w:cs="Arial"/>
              </w:rPr>
              <w:t>Alex Dewsnap</w:t>
            </w:r>
            <w:r w:rsidR="006946B5">
              <w:rPr>
                <w:rFonts w:cs="Arial"/>
              </w:rPr>
              <w:t xml:space="preserve">, </w:t>
            </w:r>
            <w:r w:rsidR="00ED538A">
              <w:rPr>
                <w:rFonts w:cs="Arial"/>
              </w:rPr>
              <w:t>Director</w:t>
            </w:r>
            <w:r w:rsidR="00616B30">
              <w:rPr>
                <w:rFonts w:cs="Arial"/>
              </w:rPr>
              <w:t xml:space="preserve"> </w:t>
            </w:r>
            <w:bookmarkStart w:id="0" w:name="_GoBack"/>
            <w:bookmarkEnd w:id="0"/>
            <w:r w:rsidR="00ED538A">
              <w:rPr>
                <w:rFonts w:cs="Arial"/>
              </w:rPr>
              <w:t>of Strategy</w:t>
            </w:r>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631D3E" w:rsidRPr="00631D3E" w:rsidRDefault="006946B5" w:rsidP="00631D3E">
            <w:pPr>
              <w:rPr>
                <w:rFonts w:cs="Arial"/>
                <w:color w:val="FF0000"/>
                <w:sz w:val="28"/>
                <w:szCs w:val="28"/>
              </w:rPr>
            </w:pPr>
            <w:r>
              <w:rPr>
                <w:rFonts w:cs="Arial"/>
                <w:sz w:val="28"/>
                <w:szCs w:val="28"/>
              </w:rPr>
              <w:t>Community</w:t>
            </w:r>
            <w:r w:rsidR="00616B30">
              <w:rPr>
                <w:rFonts w:cs="Arial"/>
                <w:sz w:val="28"/>
                <w:szCs w:val="28"/>
              </w:rPr>
              <w:t xml:space="preserve">: </w:t>
            </w:r>
            <w:r w:rsidR="00631D3E" w:rsidRPr="00631D3E">
              <w:rPr>
                <w:rFonts w:cs="Arial"/>
                <w:sz w:val="28"/>
                <w:szCs w:val="28"/>
              </w:rPr>
              <w:t>Councillor Ghazanfar Ali and Councillor Jean Lammiman</w:t>
            </w:r>
          </w:p>
          <w:p w:rsidR="005441BD" w:rsidRPr="00631D3E" w:rsidRDefault="005441BD">
            <w:pPr>
              <w:pStyle w:val="Infotext"/>
              <w:rPr>
                <w:rFonts w:cs="Arial"/>
                <w:szCs w:val="28"/>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631D3E">
            <w:pPr>
              <w:pStyle w:val="Infotext"/>
              <w:rPr>
                <w:rFonts w:cs="Arial"/>
              </w:rPr>
            </w:pPr>
            <w:r>
              <w:rPr>
                <w:rFonts w:cs="Arial"/>
              </w:rPr>
              <w:t>No</w:t>
            </w: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A2F0B" w:rsidRDefault="00631D3E">
            <w:pPr>
              <w:pStyle w:val="Infotext"/>
              <w:rPr>
                <w:b/>
                <w:color w:val="FF0000"/>
              </w:rPr>
            </w:pPr>
            <w: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5441BD" w:rsidRDefault="00631D3E">
            <w:pPr>
              <w:pStyle w:val="Infotext"/>
            </w:pPr>
            <w:r>
              <w:t>Preventing Youth Violence Scrutiny Report</w:t>
            </w:r>
          </w:p>
        </w:tc>
      </w:tr>
    </w:tbl>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Pr="006909FC" w:rsidRDefault="006909FC" w:rsidP="006946B5">
            <w:pPr>
              <w:jc w:val="both"/>
              <w:rPr>
                <w:color w:val="000000"/>
              </w:rPr>
            </w:pPr>
            <w:r w:rsidRPr="00686731">
              <w:rPr>
                <w:color w:val="000000"/>
                <w:lang w:eastAsia="en-GB"/>
              </w:rPr>
              <w:t xml:space="preserve">This report sets out the final findings and recommendations of the Scrutiny Review into Preventing Youth Violence, which was established to scrutinise the Council’s work into tackling youth violence. </w:t>
            </w:r>
            <w:r w:rsidRPr="00686731">
              <w:rPr>
                <w:color w:val="000000"/>
              </w:rPr>
              <w:t>The purpose of the review was to investigate how we might use all of the Council’s policies and strategies  to contribute to reducing youth crime and anti-social behaviour in a more ‘Public H</w:t>
            </w:r>
            <w:r>
              <w:rPr>
                <w:color w:val="000000"/>
              </w:rPr>
              <w:t>ealth approach’ to Youth Crime.</w:t>
            </w:r>
          </w:p>
          <w:p w:rsidR="005441BD" w:rsidRDefault="005441BD" w:rsidP="006946B5">
            <w:pPr>
              <w:pStyle w:val="Heading2"/>
            </w:pPr>
          </w:p>
          <w:p w:rsidR="005441BD" w:rsidRDefault="005441BD" w:rsidP="006946B5">
            <w:pPr>
              <w:pStyle w:val="Heading2"/>
            </w:pPr>
            <w:r>
              <w:t xml:space="preserve">Recommendations: </w:t>
            </w:r>
          </w:p>
          <w:p w:rsidR="00E3656B" w:rsidRPr="00E3656B" w:rsidRDefault="006909FC" w:rsidP="00E3656B">
            <w:r w:rsidRPr="007C56A5">
              <w:t>The Overview and Scrutiny Committee is asked to:</w:t>
            </w:r>
          </w:p>
          <w:p w:rsidR="00E3656B" w:rsidRDefault="00E3656B" w:rsidP="00E3656B">
            <w:pPr>
              <w:pStyle w:val="ListParagraph"/>
              <w:numPr>
                <w:ilvl w:val="0"/>
                <w:numId w:val="43"/>
              </w:numPr>
            </w:pPr>
            <w:r>
              <w:t>Consider and endorse the report of the Scrutiny Review into Preventing Youth Violence</w:t>
            </w:r>
          </w:p>
          <w:p w:rsidR="00E3656B" w:rsidRDefault="00E3656B" w:rsidP="00E3656B">
            <w:pPr>
              <w:pStyle w:val="ListParagraph"/>
              <w:numPr>
                <w:ilvl w:val="0"/>
                <w:numId w:val="43"/>
              </w:numPr>
            </w:pPr>
            <w:r>
              <w:t>Forward the review’s report and recommendations to Cabinet for consideration and response</w:t>
            </w:r>
          </w:p>
          <w:p w:rsidR="005441BD" w:rsidRDefault="00E3656B" w:rsidP="00E3656B">
            <w:pPr>
              <w:pStyle w:val="ListParagraph"/>
              <w:numPr>
                <w:ilvl w:val="0"/>
                <w:numId w:val="43"/>
              </w:numPr>
            </w:pPr>
            <w:r>
              <w:t>Agree that the Overview and Scrutiny Committee review the implementation of the recommendations after 12 months.</w:t>
            </w:r>
          </w:p>
        </w:tc>
      </w:tr>
    </w:tbl>
    <w:p w:rsidR="005441BD" w:rsidRDefault="005441BD">
      <w:pPr>
        <w:pStyle w:val="Heading1"/>
        <w:jc w:val="both"/>
      </w:pPr>
      <w:r>
        <w:lastRenderedPageBreak/>
        <w:t>Section 2 – Report</w:t>
      </w:r>
    </w:p>
    <w:p w:rsidR="005441BD" w:rsidRDefault="005441BD"/>
    <w:p w:rsidR="006909FC" w:rsidRPr="00686731" w:rsidRDefault="006909FC" w:rsidP="006946B5">
      <w:pPr>
        <w:jc w:val="both"/>
        <w:rPr>
          <w:color w:val="000000"/>
        </w:rPr>
      </w:pPr>
      <w:r w:rsidRPr="00686731">
        <w:rPr>
          <w:color w:val="000000"/>
          <w:lang w:eastAsia="en-GB"/>
        </w:rPr>
        <w:t xml:space="preserve">This report sets out the final findings and recommendations of the Scrutiny Review into Preventing Youth Violence, which was established to scrutinise the Council’s work into tackling youth violence. </w:t>
      </w:r>
      <w:r w:rsidRPr="00686731">
        <w:rPr>
          <w:color w:val="000000"/>
        </w:rPr>
        <w:t>The purpose of the review is to investigate how we might use all of the Council’s policies and strategies  to contribute to reducing youth crime and anti-social behaviour in a more ‘Public Health approach’ to Youth Crime. Specifically, the review aimed to:</w:t>
      </w:r>
    </w:p>
    <w:p w:rsidR="006909FC" w:rsidRPr="00686731" w:rsidRDefault="006909FC" w:rsidP="006946B5">
      <w:pPr>
        <w:jc w:val="both"/>
        <w:rPr>
          <w:color w:val="000000"/>
        </w:rPr>
      </w:pPr>
    </w:p>
    <w:p w:rsidR="006909FC" w:rsidRPr="00686731" w:rsidRDefault="006909FC" w:rsidP="006946B5">
      <w:pPr>
        <w:numPr>
          <w:ilvl w:val="0"/>
          <w:numId w:val="41"/>
        </w:numPr>
        <w:jc w:val="both"/>
        <w:rPr>
          <w:color w:val="000000"/>
        </w:rPr>
      </w:pPr>
      <w:r w:rsidRPr="00686731">
        <w:rPr>
          <w:color w:val="000000"/>
        </w:rPr>
        <w:t>Understand how a ‘Public Health approach’ can contribute to reducing youth violence, to identify changes we could make to Council policies and strategies so they contribute to the reduction in youth crime and ASB</w:t>
      </w:r>
    </w:p>
    <w:p w:rsidR="006909FC" w:rsidRPr="00686731" w:rsidRDefault="006909FC" w:rsidP="006946B5">
      <w:pPr>
        <w:numPr>
          <w:ilvl w:val="0"/>
          <w:numId w:val="41"/>
        </w:numPr>
        <w:jc w:val="both"/>
        <w:rPr>
          <w:color w:val="000000"/>
        </w:rPr>
      </w:pPr>
      <w:r w:rsidRPr="00686731">
        <w:rPr>
          <w:color w:val="000000"/>
        </w:rPr>
        <w:t>Understand what the drivers are behind the rise in youth crime in Harrow and best practise in other boroughs</w:t>
      </w:r>
    </w:p>
    <w:p w:rsidR="006909FC" w:rsidRPr="00686731" w:rsidRDefault="006909FC" w:rsidP="006946B5">
      <w:pPr>
        <w:numPr>
          <w:ilvl w:val="0"/>
          <w:numId w:val="41"/>
        </w:numPr>
        <w:jc w:val="both"/>
        <w:rPr>
          <w:color w:val="000000"/>
        </w:rPr>
      </w:pPr>
      <w:r w:rsidRPr="00686731">
        <w:rPr>
          <w:color w:val="000000"/>
        </w:rPr>
        <w:t>Inform the Council’s refresh of the VVE strategy, including the role of consultation with young people</w:t>
      </w:r>
    </w:p>
    <w:p w:rsidR="006909FC" w:rsidRPr="00686731" w:rsidRDefault="006909FC" w:rsidP="006946B5">
      <w:pPr>
        <w:numPr>
          <w:ilvl w:val="0"/>
          <w:numId w:val="41"/>
        </w:numPr>
        <w:jc w:val="both"/>
        <w:rPr>
          <w:color w:val="000000"/>
        </w:rPr>
      </w:pPr>
      <w:r w:rsidRPr="00686731">
        <w:rPr>
          <w:color w:val="000000"/>
        </w:rPr>
        <w:t>Investigate the better use of intelligence to target key people to stop youth violence and deter involvement</w:t>
      </w:r>
    </w:p>
    <w:p w:rsidR="006909FC" w:rsidRPr="00686731" w:rsidRDefault="006909FC" w:rsidP="006946B5">
      <w:pPr>
        <w:ind w:left="720"/>
        <w:jc w:val="both"/>
        <w:rPr>
          <w:color w:val="000000"/>
        </w:rPr>
      </w:pPr>
    </w:p>
    <w:p w:rsidR="006909FC" w:rsidRDefault="006909FC" w:rsidP="006946B5">
      <w:pPr>
        <w:jc w:val="both"/>
        <w:rPr>
          <w:color w:val="000000"/>
        </w:rPr>
      </w:pPr>
      <w:r w:rsidRPr="00686731">
        <w:rPr>
          <w:color w:val="000000"/>
        </w:rPr>
        <w:t>The measure of success for this scrutiny review was to ensure policy changes are agreed; that there is a greater understanding amongst decisions makers to make a difference to young people’s lives, through partnership working and information sharing; and to enable the better use of intelligence to target key people to stop youth violence and deter involvement.</w:t>
      </w:r>
    </w:p>
    <w:p w:rsidR="006909FC" w:rsidRDefault="006909FC" w:rsidP="006946B5">
      <w:pPr>
        <w:jc w:val="both"/>
        <w:rPr>
          <w:color w:val="000000"/>
        </w:rPr>
      </w:pPr>
    </w:p>
    <w:p w:rsidR="006909FC" w:rsidRPr="00686731" w:rsidRDefault="006909FC" w:rsidP="006946B5">
      <w:pPr>
        <w:autoSpaceDE w:val="0"/>
        <w:autoSpaceDN w:val="0"/>
        <w:adjustRightInd w:val="0"/>
        <w:jc w:val="both"/>
        <w:rPr>
          <w:color w:val="000000"/>
          <w:lang w:eastAsia="en-GB"/>
        </w:rPr>
      </w:pPr>
      <w:r w:rsidRPr="00686731">
        <w:rPr>
          <w:color w:val="000000"/>
          <w:lang w:eastAsia="en-GB"/>
        </w:rPr>
        <w:t>Key themes emerged, including; a new model of partnership working between the council and voluntary sector, which should be extended to statutory services; the gap of intervention services for young people in the transition age group (year 6 of primary school); growing drug use amongst young people; and the need for a streamlined approach to ensuring all council strategies consider youth violence as driving out crime.</w:t>
      </w:r>
    </w:p>
    <w:p w:rsidR="006909FC" w:rsidRPr="00686731" w:rsidRDefault="006909FC" w:rsidP="006946B5">
      <w:pPr>
        <w:autoSpaceDE w:val="0"/>
        <w:autoSpaceDN w:val="0"/>
        <w:adjustRightInd w:val="0"/>
        <w:jc w:val="both"/>
        <w:rPr>
          <w:color w:val="000000"/>
          <w:lang w:eastAsia="en-GB"/>
        </w:rPr>
      </w:pPr>
    </w:p>
    <w:p w:rsidR="006909FC" w:rsidRPr="00686731" w:rsidRDefault="006909FC" w:rsidP="006946B5">
      <w:pPr>
        <w:autoSpaceDE w:val="0"/>
        <w:autoSpaceDN w:val="0"/>
        <w:adjustRightInd w:val="0"/>
        <w:jc w:val="both"/>
        <w:rPr>
          <w:b/>
          <w:color w:val="000000"/>
        </w:rPr>
      </w:pPr>
      <w:r w:rsidRPr="00686731">
        <w:rPr>
          <w:color w:val="000000"/>
          <w:lang w:eastAsia="en-GB"/>
        </w:rPr>
        <w:t>The recommendations from this Review are based on evidence from local data on youth violence, information from the latest Community Safety and Violence, Vulnerability a</w:t>
      </w:r>
      <w:r w:rsidR="009608EC">
        <w:rPr>
          <w:color w:val="000000"/>
          <w:lang w:eastAsia="en-GB"/>
        </w:rPr>
        <w:t>n</w:t>
      </w:r>
      <w:r w:rsidRPr="00686731">
        <w:rPr>
          <w:color w:val="000000"/>
          <w:lang w:eastAsia="en-GB"/>
        </w:rPr>
        <w:t>d Exploitation Strategy, partners working on the ground in Harrow, and from senior council officers and members at the Challenge Panel. It is hoped that this Review can assist in informing future interventions and the latest refresh of the Community Safety and Violence, Vulnerability ad Exploitation Strategy in order to ensure the best outcomes for all of Harrow’s young people.</w:t>
      </w:r>
    </w:p>
    <w:p w:rsidR="006909FC" w:rsidRDefault="006909FC" w:rsidP="006946B5">
      <w:pPr>
        <w:jc w:val="both"/>
        <w:rPr>
          <w:color w:val="000000"/>
        </w:rPr>
      </w:pPr>
    </w:p>
    <w:p w:rsidR="006909FC" w:rsidRPr="00686731" w:rsidRDefault="006909FC" w:rsidP="006946B5">
      <w:pPr>
        <w:autoSpaceDE w:val="0"/>
        <w:autoSpaceDN w:val="0"/>
        <w:adjustRightInd w:val="0"/>
        <w:jc w:val="both"/>
        <w:rPr>
          <w:b/>
          <w:color w:val="000000"/>
        </w:rPr>
      </w:pPr>
      <w:r w:rsidRPr="00686731">
        <w:rPr>
          <w:b/>
          <w:color w:val="000000"/>
        </w:rPr>
        <w:t>The final recommendations to Overview and Scrutiny Committee from the Panel are:</w:t>
      </w:r>
    </w:p>
    <w:p w:rsidR="006909FC" w:rsidRPr="00F7182C" w:rsidRDefault="006909FC" w:rsidP="006946B5">
      <w:pPr>
        <w:autoSpaceDE w:val="0"/>
        <w:autoSpaceDN w:val="0"/>
        <w:adjustRightInd w:val="0"/>
        <w:jc w:val="both"/>
        <w:rPr>
          <w:rFonts w:cs="Arial"/>
          <w:b/>
          <w:color w:val="000000"/>
          <w:szCs w:val="24"/>
        </w:rPr>
      </w:pPr>
    </w:p>
    <w:p w:rsidR="006909FC" w:rsidRPr="00F7182C" w:rsidRDefault="006909FC" w:rsidP="006946B5">
      <w:pPr>
        <w:pStyle w:val="NoSpacing"/>
        <w:numPr>
          <w:ilvl w:val="0"/>
          <w:numId w:val="42"/>
        </w:numPr>
        <w:jc w:val="both"/>
        <w:rPr>
          <w:rFonts w:ascii="Arial" w:hAnsi="Arial" w:cs="Arial"/>
          <w:color w:val="000000"/>
          <w:sz w:val="24"/>
          <w:szCs w:val="24"/>
        </w:rPr>
      </w:pPr>
      <w:r w:rsidRPr="00F7182C">
        <w:rPr>
          <w:rFonts w:ascii="Arial" w:hAnsi="Arial" w:cs="Arial"/>
          <w:color w:val="000000"/>
          <w:sz w:val="24"/>
          <w:szCs w:val="24"/>
        </w:rPr>
        <w:t>Each time a strategy or policy is reviewed a specific perspective on reducing youth violence should be included.</w:t>
      </w:r>
    </w:p>
    <w:p w:rsidR="006909FC" w:rsidRPr="00F7182C" w:rsidRDefault="006909FC" w:rsidP="006946B5">
      <w:pPr>
        <w:pStyle w:val="NoSpacing"/>
        <w:numPr>
          <w:ilvl w:val="0"/>
          <w:numId w:val="42"/>
        </w:numPr>
        <w:jc w:val="both"/>
        <w:rPr>
          <w:rFonts w:ascii="Arial" w:hAnsi="Arial" w:cs="Arial"/>
          <w:color w:val="000000"/>
          <w:sz w:val="24"/>
          <w:szCs w:val="24"/>
        </w:rPr>
      </w:pPr>
      <w:r w:rsidRPr="00F7182C">
        <w:rPr>
          <w:rFonts w:ascii="Arial" w:hAnsi="Arial" w:cs="Arial"/>
          <w:sz w:val="24"/>
          <w:szCs w:val="24"/>
        </w:rPr>
        <w:t>The Council to work in collaboration with the Police and Schools to address the priorities agreed within the CS, VVE Strategy.</w:t>
      </w:r>
    </w:p>
    <w:p w:rsidR="006909FC" w:rsidRPr="00F7182C" w:rsidRDefault="006909FC" w:rsidP="006946B5">
      <w:pPr>
        <w:pStyle w:val="NoSpacing"/>
        <w:numPr>
          <w:ilvl w:val="0"/>
          <w:numId w:val="42"/>
        </w:numPr>
        <w:jc w:val="both"/>
        <w:rPr>
          <w:rFonts w:ascii="Arial" w:hAnsi="Arial" w:cs="Arial"/>
          <w:color w:val="000000"/>
          <w:sz w:val="24"/>
          <w:szCs w:val="24"/>
        </w:rPr>
      </w:pPr>
      <w:r w:rsidRPr="00F7182C">
        <w:rPr>
          <w:rFonts w:ascii="Arial" w:hAnsi="Arial" w:cs="Arial"/>
          <w:sz w:val="24"/>
          <w:szCs w:val="24"/>
        </w:rPr>
        <w:t>The council to explore interventions that prevent young people from using and dealing drugs.</w:t>
      </w:r>
    </w:p>
    <w:p w:rsidR="006909FC" w:rsidRPr="00F7182C" w:rsidRDefault="006909FC" w:rsidP="006946B5">
      <w:pPr>
        <w:pStyle w:val="NoSpacing"/>
        <w:numPr>
          <w:ilvl w:val="0"/>
          <w:numId w:val="42"/>
        </w:numPr>
        <w:jc w:val="both"/>
        <w:rPr>
          <w:rFonts w:ascii="Arial" w:hAnsi="Arial" w:cs="Arial"/>
          <w:color w:val="000000"/>
          <w:sz w:val="24"/>
          <w:szCs w:val="24"/>
        </w:rPr>
      </w:pPr>
      <w:r w:rsidRPr="00F7182C">
        <w:rPr>
          <w:rFonts w:ascii="Arial" w:hAnsi="Arial" w:cs="Arial"/>
          <w:sz w:val="24"/>
          <w:szCs w:val="24"/>
        </w:rPr>
        <w:lastRenderedPageBreak/>
        <w:t>Harrow Council explores the use of early intervention programmes in year 6 of primary schools.</w:t>
      </w:r>
    </w:p>
    <w:p w:rsidR="00DA38BD" w:rsidRPr="00F7182C" w:rsidRDefault="00DA38BD" w:rsidP="006946B5"/>
    <w:p w:rsidR="005441BD" w:rsidRDefault="005441BD">
      <w:pPr>
        <w:pStyle w:val="Heading2"/>
      </w:pPr>
      <w:r>
        <w:t>Financial Implications</w:t>
      </w:r>
    </w:p>
    <w:p w:rsidR="00CC41F5" w:rsidRDefault="00CC41F5"/>
    <w:p w:rsidR="00CC41F5" w:rsidRDefault="00CC41F5">
      <w:r>
        <w:t>There are no financial implications.</w:t>
      </w:r>
    </w:p>
    <w:p w:rsidR="00FB23F5" w:rsidRDefault="00FB23F5"/>
    <w:p w:rsidR="005441BD" w:rsidRDefault="005441BD">
      <w:pPr>
        <w:pStyle w:val="Heading2"/>
      </w:pPr>
      <w:r>
        <w:t>Performance Issues</w:t>
      </w:r>
    </w:p>
    <w:p w:rsidR="00480D23" w:rsidRDefault="00480D23" w:rsidP="00480D23"/>
    <w:p w:rsidR="00480D23" w:rsidRDefault="00F7182C" w:rsidP="00F7182C">
      <w:r>
        <w:t>There are no performance issues impacted.</w:t>
      </w:r>
    </w:p>
    <w:p w:rsidR="00FB23F5" w:rsidRPr="00FB23F5" w:rsidRDefault="00FB23F5" w:rsidP="00FB23F5"/>
    <w:p w:rsidR="00E446E9" w:rsidRDefault="00E446E9" w:rsidP="00B36547">
      <w:pPr>
        <w:pStyle w:val="Heading2"/>
        <w:keepNext/>
      </w:pPr>
      <w:r w:rsidRPr="00E446E9">
        <w:t>Environmental Impact</w:t>
      </w:r>
    </w:p>
    <w:p w:rsidR="00CC41F5" w:rsidRPr="00CC41F5" w:rsidRDefault="00CC41F5" w:rsidP="00CC41F5">
      <w:pPr>
        <w:keepNext/>
      </w:pPr>
    </w:p>
    <w:p w:rsidR="00A80F10" w:rsidRDefault="00CC41F5" w:rsidP="00CC41F5">
      <w:pPr>
        <w:keepNext/>
        <w:rPr>
          <w:b/>
        </w:rPr>
      </w:pPr>
      <w:r w:rsidRPr="00CC41F5">
        <w:t>There are no environmental impacts.</w:t>
      </w:r>
    </w:p>
    <w:p w:rsidR="00CC41F5" w:rsidRDefault="00CC41F5" w:rsidP="00B36547">
      <w:pPr>
        <w:pStyle w:val="Heading2"/>
        <w:keepNext/>
      </w:pPr>
    </w:p>
    <w:p w:rsidR="00915FD6" w:rsidRDefault="00915FD6" w:rsidP="00B36547">
      <w:pPr>
        <w:pStyle w:val="Heading2"/>
        <w:keepNext/>
      </w:pPr>
      <w:r>
        <w:t>Risk Management Implications</w:t>
      </w:r>
    </w:p>
    <w:p w:rsidR="00D4068D" w:rsidRPr="00D4068D" w:rsidRDefault="00D4068D" w:rsidP="00D4068D">
      <w:pPr>
        <w:ind w:right="81"/>
        <w:rPr>
          <w:rFonts w:cs="Arial"/>
          <w:szCs w:val="24"/>
          <w:lang w:val="en-US"/>
        </w:rPr>
      </w:pPr>
    </w:p>
    <w:p w:rsidR="00D4068D" w:rsidRPr="00D4068D" w:rsidRDefault="00D4068D" w:rsidP="00D4068D">
      <w:pPr>
        <w:tabs>
          <w:tab w:val="left" w:pos="5610"/>
        </w:tabs>
        <w:ind w:right="81"/>
        <w:rPr>
          <w:rFonts w:cs="Arial"/>
          <w:szCs w:val="24"/>
          <w:lang w:val="en-US"/>
        </w:rPr>
      </w:pPr>
      <w:r w:rsidRPr="00D4068D">
        <w:rPr>
          <w:rFonts w:cs="Arial"/>
          <w:szCs w:val="24"/>
          <w:lang w:val="en-US"/>
        </w:rPr>
        <w:t>Risk included on Directorate risk register?  No</w:t>
      </w:r>
      <w:r w:rsidRPr="00D4068D">
        <w:rPr>
          <w:rFonts w:cs="Arial"/>
          <w:szCs w:val="24"/>
          <w:lang w:val="en-US"/>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4068D" w:rsidRPr="00D4068D" w:rsidRDefault="00D4068D" w:rsidP="00D4068D">
      <w:pPr>
        <w:tabs>
          <w:tab w:val="left" w:pos="4488"/>
        </w:tabs>
        <w:ind w:right="141"/>
        <w:rPr>
          <w:rFonts w:cs="Arial"/>
          <w:szCs w:val="24"/>
          <w:lang w:val="en-US" w:eastAsia="en-GB"/>
        </w:rPr>
      </w:pPr>
      <w:r w:rsidRPr="00D4068D">
        <w:rPr>
          <w:rFonts w:cs="Arial"/>
          <w:szCs w:val="24"/>
          <w:lang w:val="en-US" w:eastAsia="en-GB"/>
        </w:rPr>
        <w:t>Separate risk register in place?  No</w:t>
      </w:r>
      <w:r w:rsidRPr="00D4068D">
        <w:rPr>
          <w:rFonts w:cs="Arial"/>
          <w:szCs w:val="24"/>
          <w:lang w:val="en-US" w:eastAsia="en-GB"/>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B776F3" w:rsidRDefault="00B776F3" w:rsidP="00CC41F5">
      <w:r w:rsidRPr="004A2543">
        <w:t xml:space="preserve">Was an Equality Impact Assessment carried out?  </w:t>
      </w:r>
      <w:r w:rsidR="00CC41F5">
        <w:t>No</w:t>
      </w:r>
    </w:p>
    <w:p w:rsidR="00CC41F5" w:rsidRDefault="00CC41F5" w:rsidP="00CC41F5"/>
    <w:p w:rsidR="00FA1B8C" w:rsidRDefault="00FA1B8C" w:rsidP="00FA1B8C">
      <w:r>
        <w:t xml:space="preserve">An EqIA was not carried out specifically for this report as it includes no proposals for service change.  Where changes result from the acceptance of these reports recommendations, these will be accompanied by an EqIA. </w:t>
      </w:r>
    </w:p>
    <w:p w:rsidR="00FA1B8C" w:rsidRPr="004A2543" w:rsidRDefault="00FA1B8C" w:rsidP="00CC41F5"/>
    <w:p w:rsidR="00AA1D1C" w:rsidRPr="00CD57D8" w:rsidRDefault="00777253" w:rsidP="00AA1D1C">
      <w:pPr>
        <w:pStyle w:val="Heading2"/>
      </w:pPr>
      <w:r>
        <w:t xml:space="preserve">Council </w:t>
      </w:r>
      <w:r w:rsidR="00AA1D1C" w:rsidRPr="00CD57D8">
        <w:t>Priorities</w:t>
      </w:r>
    </w:p>
    <w:p w:rsidR="00AA1D1C" w:rsidRDefault="00AA1D1C" w:rsidP="00AA1D1C">
      <w:pPr>
        <w:keepNext/>
        <w:ind w:right="144"/>
        <w:rPr>
          <w:rFonts w:cs="Arial"/>
          <w:szCs w:val="24"/>
          <w:lang w:val="en-US"/>
        </w:rPr>
      </w:pPr>
    </w:p>
    <w:p w:rsidR="00930C42" w:rsidRPr="00930C42" w:rsidRDefault="00930C42" w:rsidP="00930C42">
      <w:pPr>
        <w:rPr>
          <w:rFonts w:cs="Arial"/>
          <w:szCs w:val="24"/>
          <w:lang w:val="en-US"/>
        </w:rPr>
      </w:pPr>
      <w:r w:rsidRPr="00930C42">
        <w:rPr>
          <w:rFonts w:cs="Arial"/>
          <w:szCs w:val="24"/>
          <w:lang w:val="en-US"/>
        </w:rPr>
        <w:t xml:space="preserve">Please identify how the decision sought delivers these priorities. </w:t>
      </w:r>
    </w:p>
    <w:p w:rsidR="00930C42" w:rsidRPr="00930C42" w:rsidRDefault="00930C42" w:rsidP="00AA1D1C">
      <w:pPr>
        <w:keepNext/>
        <w:ind w:right="144"/>
        <w:rPr>
          <w:rFonts w:cs="Arial"/>
          <w:szCs w:val="24"/>
          <w:lang w:val="en-U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Supporting Those Most in Need</w:t>
      </w:r>
    </w:p>
    <w:p w:rsidR="00930C42" w:rsidRPr="00930C42" w:rsidRDefault="00930C42" w:rsidP="00930C42">
      <w:pPr>
        <w:pStyle w:val="ListParagraph"/>
        <w:numPr>
          <w:ilvl w:val="0"/>
          <w:numId w:val="36"/>
        </w:numPr>
        <w:autoSpaceDE w:val="0"/>
        <w:autoSpaceDN w:val="0"/>
        <w:contextualSpacing/>
        <w:rPr>
          <w:sz w:val="24"/>
        </w:rPr>
      </w:pPr>
      <w:r w:rsidRPr="00930C42">
        <w:rPr>
          <w:sz w:val="24"/>
        </w:rPr>
        <w:t>Reduce levels of homelessness in the borough</w:t>
      </w:r>
    </w:p>
    <w:p w:rsidR="00930C42" w:rsidRPr="00930C42" w:rsidRDefault="00930C42" w:rsidP="00930C42">
      <w:pPr>
        <w:pStyle w:val="ListParagraph"/>
        <w:numPr>
          <w:ilvl w:val="0"/>
          <w:numId w:val="36"/>
        </w:numPr>
        <w:autoSpaceDE w:val="0"/>
        <w:autoSpaceDN w:val="0"/>
        <w:contextualSpacing/>
        <w:rPr>
          <w:sz w:val="24"/>
        </w:rPr>
      </w:pPr>
      <w:r w:rsidRPr="00930C42">
        <w:rPr>
          <w:sz w:val="24"/>
        </w:rPr>
        <w:t>Empower residents to maintain their well-being and independence</w:t>
      </w:r>
    </w:p>
    <w:p w:rsidR="00930C42" w:rsidRPr="00930C42" w:rsidRDefault="00930C42" w:rsidP="00930C42">
      <w:pPr>
        <w:pStyle w:val="ListParagraph"/>
        <w:numPr>
          <w:ilvl w:val="0"/>
          <w:numId w:val="36"/>
        </w:numPr>
        <w:autoSpaceDE w:val="0"/>
        <w:autoSpaceDN w:val="0"/>
        <w:contextualSpacing/>
        <w:rPr>
          <w:sz w:val="24"/>
        </w:rPr>
      </w:pPr>
      <w:r w:rsidRPr="00930C42">
        <w:rPr>
          <w:sz w:val="24"/>
        </w:rPr>
        <w:t>Children and young people are given the opportunities to have the best start in life and families can thrive</w:t>
      </w:r>
    </w:p>
    <w:p w:rsidR="00930C42" w:rsidRPr="00930C42" w:rsidRDefault="00930C42" w:rsidP="00930C42">
      <w:pPr>
        <w:pStyle w:val="ListParagraph"/>
        <w:numPr>
          <w:ilvl w:val="0"/>
          <w:numId w:val="36"/>
        </w:numPr>
        <w:autoSpaceDE w:val="0"/>
        <w:autoSpaceDN w:val="0"/>
        <w:contextualSpacing/>
        <w:rPr>
          <w:sz w:val="24"/>
        </w:rPr>
      </w:pPr>
      <w:r w:rsidRPr="00930C42">
        <w:rPr>
          <w:sz w:val="24"/>
        </w:rPr>
        <w:t>Reduce the gap in life expectancy in the borough</w:t>
      </w:r>
      <w:r w:rsidR="00616B30">
        <w:rPr>
          <w:sz w:val="24"/>
        </w:rPr>
        <w:t>.</w:t>
      </w:r>
    </w:p>
    <w:p w:rsidR="00930C42" w:rsidRPr="00930C42" w:rsidRDefault="00930C42" w:rsidP="00930C42">
      <w:pPr>
        <w:autoSpaceDE w:val="0"/>
        <w:autoSpaceDN w:val="0"/>
        <w:rPr>
          <w:b/>
          <w:bCs/>
        </w:rPr>
      </w:pPr>
    </w:p>
    <w:p w:rsidR="005441BD" w:rsidRDefault="005441BD" w:rsidP="000417A4">
      <w:pPr>
        <w:pStyle w:val="Heading1"/>
        <w:keepNext/>
      </w:pPr>
      <w:r>
        <w:t>Section 3 - Clearance</w:t>
      </w:r>
    </w:p>
    <w:p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383"/>
        <w:gridCol w:w="234"/>
        <w:gridCol w:w="3599"/>
      </w:tblGrid>
      <w:tr w:rsidR="00F63742" w:rsidTr="001C1569">
        <w:tc>
          <w:tcPr>
            <w:tcW w:w="4752" w:type="dxa"/>
            <w:tcBorders>
              <w:bottom w:val="nil"/>
              <w:right w:val="nil"/>
            </w:tcBorders>
          </w:tcPr>
          <w:p w:rsidR="00F63742" w:rsidRDefault="00F63742" w:rsidP="001C1569">
            <w:pPr>
              <w:pStyle w:val="Infotext"/>
            </w:pPr>
          </w:p>
          <w:p w:rsidR="00F63742" w:rsidRDefault="00F63742" w:rsidP="001C1569">
            <w:pPr>
              <w:pStyle w:val="Infotext"/>
            </w:pPr>
          </w:p>
        </w:tc>
        <w:tc>
          <w:tcPr>
            <w:tcW w:w="387" w:type="dxa"/>
            <w:tcBorders>
              <w:left w:val="nil"/>
              <w:right w:val="nil"/>
            </w:tcBorders>
          </w:tcPr>
          <w:p w:rsidR="00F63742" w:rsidRDefault="00F63742" w:rsidP="001C1569">
            <w:pPr>
              <w:pStyle w:val="Infotext"/>
            </w:pPr>
          </w:p>
        </w:tc>
        <w:tc>
          <w:tcPr>
            <w:tcW w:w="236" w:type="dxa"/>
            <w:tcBorders>
              <w:left w:val="nil"/>
              <w:bottom w:val="nil"/>
              <w:right w:val="nil"/>
            </w:tcBorders>
          </w:tcPr>
          <w:p w:rsidR="00F63742" w:rsidRDefault="00F63742" w:rsidP="001C1569">
            <w:pPr>
              <w:pStyle w:val="Infotext"/>
            </w:pPr>
          </w:p>
        </w:tc>
        <w:tc>
          <w:tcPr>
            <w:tcW w:w="3890" w:type="dxa"/>
            <w:tcBorders>
              <w:left w:val="nil"/>
              <w:bottom w:val="nil"/>
            </w:tcBorders>
          </w:tcPr>
          <w:p w:rsidR="00F63742" w:rsidRDefault="00F63742" w:rsidP="001C1569">
            <w:pPr>
              <w:pStyle w:val="Infotext"/>
            </w:pPr>
          </w:p>
          <w:p w:rsidR="00F63742" w:rsidRDefault="00616B30" w:rsidP="001C1569">
            <w:pPr>
              <w:pStyle w:val="Infotext"/>
            </w:pPr>
            <w:r>
              <w:t>Corporate Director</w:t>
            </w:r>
          </w:p>
        </w:tc>
      </w:tr>
      <w:tr w:rsidR="00F63742" w:rsidTr="001C1569">
        <w:tc>
          <w:tcPr>
            <w:tcW w:w="4752" w:type="dxa"/>
            <w:tcBorders>
              <w:top w:val="nil"/>
              <w:bottom w:val="nil"/>
            </w:tcBorders>
          </w:tcPr>
          <w:p w:rsidR="00F63742" w:rsidRDefault="00F63742" w:rsidP="007217F4">
            <w:pPr>
              <w:pStyle w:val="Infotext"/>
            </w:pPr>
            <w:r>
              <w:t xml:space="preserve">Name: </w:t>
            </w:r>
            <w:r w:rsidR="007217F4">
              <w:t xml:space="preserve"> </w:t>
            </w:r>
            <w:r w:rsidR="00251944">
              <w:t>Paul Hewitt</w:t>
            </w:r>
          </w:p>
        </w:tc>
        <w:tc>
          <w:tcPr>
            <w:tcW w:w="387" w:type="dxa"/>
            <w:tcBorders>
              <w:bottom w:val="single" w:sz="4" w:space="0" w:color="auto"/>
            </w:tcBorders>
          </w:tcPr>
          <w:p w:rsidR="00F63742" w:rsidRDefault="006946B5" w:rsidP="001C1569">
            <w:pPr>
              <w:pStyle w:val="Infotext"/>
            </w:pPr>
            <w:r>
              <w:t>x</w:t>
            </w:r>
          </w:p>
        </w:tc>
        <w:tc>
          <w:tcPr>
            <w:tcW w:w="236" w:type="dxa"/>
            <w:tcBorders>
              <w:top w:val="nil"/>
              <w:bottom w:val="nil"/>
              <w:right w:val="nil"/>
            </w:tcBorders>
          </w:tcPr>
          <w:p w:rsidR="00F63742" w:rsidRDefault="00F63742" w:rsidP="001C1569">
            <w:pPr>
              <w:pStyle w:val="Infotext"/>
            </w:pPr>
          </w:p>
        </w:tc>
        <w:tc>
          <w:tcPr>
            <w:tcW w:w="3890" w:type="dxa"/>
            <w:tcBorders>
              <w:top w:val="nil"/>
              <w:left w:val="nil"/>
              <w:bottom w:val="nil"/>
            </w:tcBorders>
          </w:tcPr>
          <w:p w:rsidR="00F63742" w:rsidRDefault="00616B30" w:rsidP="00616B30">
            <w:pPr>
              <w:pStyle w:val="Infotext"/>
            </w:pPr>
            <w:r>
              <w:t>of People Services</w:t>
            </w:r>
          </w:p>
        </w:tc>
      </w:tr>
      <w:tr w:rsidR="00F63742" w:rsidTr="001C1569">
        <w:tc>
          <w:tcPr>
            <w:tcW w:w="4752" w:type="dxa"/>
            <w:tcBorders>
              <w:top w:val="nil"/>
              <w:right w:val="nil"/>
            </w:tcBorders>
          </w:tcPr>
          <w:p w:rsidR="00F63742" w:rsidRDefault="00F63742" w:rsidP="001C1569">
            <w:pPr>
              <w:pStyle w:val="Infotext"/>
            </w:pPr>
            <w:r>
              <w:t xml:space="preserve"> </w:t>
            </w:r>
          </w:p>
          <w:p w:rsidR="00F63742" w:rsidRDefault="00F63742" w:rsidP="00616B30">
            <w:pPr>
              <w:pStyle w:val="Infotext"/>
            </w:pPr>
            <w:r>
              <w:t xml:space="preserve">Date: </w:t>
            </w:r>
            <w:r w:rsidR="007217F4">
              <w:t xml:space="preserve"> </w:t>
            </w:r>
            <w:r w:rsidR="006946B5">
              <w:t>21</w:t>
            </w:r>
            <w:r w:rsidR="00616B30">
              <w:t xml:space="preserve"> May 2019</w:t>
            </w:r>
          </w:p>
        </w:tc>
        <w:tc>
          <w:tcPr>
            <w:tcW w:w="387" w:type="dxa"/>
            <w:tcBorders>
              <w:left w:val="nil"/>
              <w:bottom w:val="single" w:sz="4" w:space="0" w:color="auto"/>
              <w:right w:val="nil"/>
            </w:tcBorders>
          </w:tcPr>
          <w:p w:rsidR="00F63742" w:rsidRDefault="00F63742" w:rsidP="001C1569">
            <w:pPr>
              <w:pStyle w:val="Infotext"/>
            </w:pPr>
          </w:p>
        </w:tc>
        <w:tc>
          <w:tcPr>
            <w:tcW w:w="236" w:type="dxa"/>
            <w:tcBorders>
              <w:top w:val="nil"/>
              <w:left w:val="nil"/>
              <w:right w:val="nil"/>
            </w:tcBorders>
          </w:tcPr>
          <w:p w:rsidR="00F63742" w:rsidRDefault="00F63742" w:rsidP="001C1569">
            <w:pPr>
              <w:pStyle w:val="Infotext"/>
            </w:pPr>
          </w:p>
        </w:tc>
        <w:tc>
          <w:tcPr>
            <w:tcW w:w="3890" w:type="dxa"/>
            <w:tcBorders>
              <w:top w:val="nil"/>
              <w:left w:val="nil"/>
            </w:tcBorders>
          </w:tcPr>
          <w:p w:rsidR="00F63742" w:rsidRDefault="00F63742" w:rsidP="001C1569">
            <w:pPr>
              <w:pStyle w:val="Infotext"/>
            </w:pPr>
          </w:p>
        </w:tc>
      </w:tr>
    </w:tbl>
    <w:p w:rsidR="00F63742" w:rsidRDefault="00F63742" w:rsidP="00F63742"/>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946B5" w:rsidRDefault="006946B5" w:rsidP="006946B5">
            <w:pPr>
              <w:pStyle w:val="Infotext"/>
              <w:rPr>
                <w:rFonts w:ascii="Arial Black" w:hAnsi="Arial Black"/>
              </w:rPr>
            </w:pPr>
          </w:p>
          <w:p w:rsidR="006377D6" w:rsidRDefault="006377D6" w:rsidP="006946B5">
            <w:pPr>
              <w:pStyle w:val="Infotext"/>
            </w:pPr>
            <w:r>
              <w:rPr>
                <w:rFonts w:ascii="Arial Black" w:hAnsi="Arial Black"/>
              </w:rPr>
              <w:t>Ward Councillors notified:</w:t>
            </w:r>
          </w:p>
        </w:tc>
        <w:tc>
          <w:tcPr>
            <w:tcW w:w="1975" w:type="pct"/>
            <w:tcBorders>
              <w:left w:val="nil"/>
            </w:tcBorders>
          </w:tcPr>
          <w:p w:rsidR="006377D6" w:rsidRDefault="006377D6" w:rsidP="003739BF">
            <w:pPr>
              <w:pStyle w:val="Infotext"/>
            </w:pPr>
          </w:p>
          <w:p w:rsidR="006377D6" w:rsidRPr="00DC4487" w:rsidRDefault="006946B5" w:rsidP="00DC4487">
            <w:pPr>
              <w:pStyle w:val="Infotext"/>
              <w:spacing w:before="120"/>
              <w:rPr>
                <w:b/>
              </w:rPr>
            </w:pPr>
            <w:r>
              <w:rPr>
                <w:b/>
              </w:rPr>
              <w:t>No, as it impacts on all wards</w:t>
            </w:r>
          </w:p>
          <w:p w:rsidR="006377D6" w:rsidRPr="003D78F6" w:rsidRDefault="006377D6" w:rsidP="003739BF">
            <w:pPr>
              <w:pStyle w:val="Infotext"/>
              <w:ind w:left="173"/>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rPr>
          <w:rFonts w:cs="Arial"/>
          <w:sz w:val="24"/>
        </w:rPr>
      </w:pPr>
      <w:r w:rsidRPr="000064A3">
        <w:rPr>
          <w:b/>
        </w:rPr>
        <w:t>Contact:</w:t>
      </w:r>
      <w:r>
        <w:t xml:space="preserve">  </w:t>
      </w:r>
      <w:r w:rsidR="00CC41F5">
        <w:rPr>
          <w:rFonts w:cs="Arial"/>
          <w:sz w:val="24"/>
        </w:rPr>
        <w:t xml:space="preserve">Shumailla Dar, Policy Officer, </w:t>
      </w:r>
      <w:r w:rsidR="006946B5">
        <w:rPr>
          <w:rFonts w:cs="Arial"/>
          <w:sz w:val="24"/>
        </w:rPr>
        <w:t xml:space="preserve">telephone 020 424 1820 </w:t>
      </w:r>
      <w:hyperlink r:id="rId10" w:history="1">
        <w:r w:rsidR="006946B5" w:rsidRPr="005335DA">
          <w:rPr>
            <w:rStyle w:val="Hyperlink"/>
            <w:rFonts w:cs="Arial"/>
            <w:sz w:val="24"/>
          </w:rPr>
          <w:t>shumailla.dar@harrow.gov.uk</w:t>
        </w:r>
      </w:hyperlink>
    </w:p>
    <w:p w:rsidR="005441BD" w:rsidRDefault="005441BD"/>
    <w:p w:rsidR="00937DB5" w:rsidRDefault="005441BD">
      <w:pPr>
        <w:pStyle w:val="Infotext"/>
      </w:pPr>
      <w:r w:rsidRPr="000064A3">
        <w:rPr>
          <w:b/>
        </w:rPr>
        <w:t>Background Papers:</w:t>
      </w:r>
    </w:p>
    <w:p w:rsidR="007E2B5D" w:rsidRPr="00BC438C" w:rsidRDefault="007E2B5D">
      <w:pPr>
        <w:pStyle w:val="Infotext"/>
        <w:rPr>
          <w:sz w:val="24"/>
        </w:rPr>
      </w:pPr>
      <w:r w:rsidRPr="00BC438C">
        <w:rPr>
          <w:sz w:val="24"/>
        </w:rPr>
        <w:t>Report from the Preventing Youth Violence Scrutiny Review</w:t>
      </w:r>
      <w:r w:rsidR="006946B5">
        <w:rPr>
          <w:sz w:val="24"/>
        </w:rPr>
        <w:t xml:space="preserve"> (as per the enclosure)</w:t>
      </w:r>
    </w:p>
    <w:sectPr w:rsidR="007E2B5D" w:rsidRPr="00BC438C"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09579B"/>
    <w:multiLevelType w:val="hybridMultilevel"/>
    <w:tmpl w:val="2C88C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47EF1"/>
    <w:multiLevelType w:val="hybridMultilevel"/>
    <w:tmpl w:val="B3D4443A"/>
    <w:lvl w:ilvl="0" w:tplc="369C6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4C708F"/>
    <w:multiLevelType w:val="hybridMultilevel"/>
    <w:tmpl w:val="1350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25AFF"/>
    <w:multiLevelType w:val="hybridMultilevel"/>
    <w:tmpl w:val="517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7"/>
  </w:num>
  <w:num w:numId="4">
    <w:abstractNumId w:val="29"/>
  </w:num>
  <w:num w:numId="5">
    <w:abstractNumId w:val="14"/>
  </w:num>
  <w:num w:numId="6">
    <w:abstractNumId w:val="27"/>
  </w:num>
  <w:num w:numId="7">
    <w:abstractNumId w:val="21"/>
  </w:num>
  <w:num w:numId="8">
    <w:abstractNumId w:val="11"/>
  </w:num>
  <w:num w:numId="9">
    <w:abstractNumId w:val="38"/>
  </w:num>
  <w:num w:numId="10">
    <w:abstractNumId w:val="40"/>
  </w:num>
  <w:num w:numId="11">
    <w:abstractNumId w:val="2"/>
  </w:num>
  <w:num w:numId="12">
    <w:abstractNumId w:val="9"/>
  </w:num>
  <w:num w:numId="13">
    <w:abstractNumId w:val="22"/>
  </w:num>
  <w:num w:numId="14">
    <w:abstractNumId w:val="12"/>
  </w:num>
  <w:num w:numId="15">
    <w:abstractNumId w:val="36"/>
  </w:num>
  <w:num w:numId="16">
    <w:abstractNumId w:val="7"/>
  </w:num>
  <w:num w:numId="17">
    <w:abstractNumId w:val="26"/>
  </w:num>
  <w:num w:numId="18">
    <w:abstractNumId w:val="13"/>
  </w:num>
  <w:num w:numId="19">
    <w:abstractNumId w:val="19"/>
  </w:num>
  <w:num w:numId="20">
    <w:abstractNumId w:val="37"/>
  </w:num>
  <w:num w:numId="21">
    <w:abstractNumId w:val="35"/>
  </w:num>
  <w:num w:numId="22">
    <w:abstractNumId w:val="16"/>
  </w:num>
  <w:num w:numId="23">
    <w:abstractNumId w:val="41"/>
  </w:num>
  <w:num w:numId="24">
    <w:abstractNumId w:val="34"/>
  </w:num>
  <w:num w:numId="25">
    <w:abstractNumId w:val="18"/>
  </w:num>
  <w:num w:numId="26">
    <w:abstractNumId w:val="1"/>
  </w:num>
  <w:num w:numId="27">
    <w:abstractNumId w:val="24"/>
  </w:num>
  <w:num w:numId="28">
    <w:abstractNumId w:val="25"/>
  </w:num>
  <w:num w:numId="29">
    <w:abstractNumId w:val="3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8"/>
  </w:num>
  <w:num w:numId="34">
    <w:abstractNumId w:val="6"/>
  </w:num>
  <w:num w:numId="35">
    <w:abstractNumId w:val="32"/>
  </w:num>
  <w:num w:numId="36">
    <w:abstractNumId w:val="42"/>
  </w:num>
  <w:num w:numId="37">
    <w:abstractNumId w:val="30"/>
  </w:num>
  <w:num w:numId="38">
    <w:abstractNumId w:val="4"/>
  </w:num>
  <w:num w:numId="39">
    <w:abstractNumId w:val="15"/>
  </w:num>
  <w:num w:numId="40">
    <w:abstractNumId w:val="31"/>
  </w:num>
  <w:num w:numId="41">
    <w:abstractNumId w:val="10"/>
  </w:num>
  <w:num w:numId="42">
    <w:abstractNumId w:val="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15F22"/>
    <w:rsid w:val="00131D9D"/>
    <w:rsid w:val="00141F91"/>
    <w:rsid w:val="00156C33"/>
    <w:rsid w:val="00157787"/>
    <w:rsid w:val="001A6BFF"/>
    <w:rsid w:val="001C1569"/>
    <w:rsid w:val="001C2940"/>
    <w:rsid w:val="001E153E"/>
    <w:rsid w:val="001E282E"/>
    <w:rsid w:val="001E6E71"/>
    <w:rsid w:val="00205B6C"/>
    <w:rsid w:val="00251944"/>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431C38"/>
    <w:rsid w:val="00480D23"/>
    <w:rsid w:val="00482882"/>
    <w:rsid w:val="0049070E"/>
    <w:rsid w:val="004D7310"/>
    <w:rsid w:val="004E104D"/>
    <w:rsid w:val="004F7E8A"/>
    <w:rsid w:val="00507725"/>
    <w:rsid w:val="005200DF"/>
    <w:rsid w:val="00527689"/>
    <w:rsid w:val="005441BD"/>
    <w:rsid w:val="00587227"/>
    <w:rsid w:val="005961BE"/>
    <w:rsid w:val="005A0494"/>
    <w:rsid w:val="005C49A2"/>
    <w:rsid w:val="005D374F"/>
    <w:rsid w:val="005D3881"/>
    <w:rsid w:val="005E58A7"/>
    <w:rsid w:val="006003F7"/>
    <w:rsid w:val="00612A64"/>
    <w:rsid w:val="00616B30"/>
    <w:rsid w:val="00617F63"/>
    <w:rsid w:val="00631D3E"/>
    <w:rsid w:val="006377D6"/>
    <w:rsid w:val="0064559E"/>
    <w:rsid w:val="00646696"/>
    <w:rsid w:val="006909FC"/>
    <w:rsid w:val="006946B5"/>
    <w:rsid w:val="006B5F35"/>
    <w:rsid w:val="006D7C86"/>
    <w:rsid w:val="00713DA0"/>
    <w:rsid w:val="007217F4"/>
    <w:rsid w:val="007444BF"/>
    <w:rsid w:val="00777253"/>
    <w:rsid w:val="00780A65"/>
    <w:rsid w:val="007E2B5D"/>
    <w:rsid w:val="00812664"/>
    <w:rsid w:val="008951A2"/>
    <w:rsid w:val="008C00C6"/>
    <w:rsid w:val="008F1A15"/>
    <w:rsid w:val="00900324"/>
    <w:rsid w:val="00915FD6"/>
    <w:rsid w:val="00930C42"/>
    <w:rsid w:val="009366AD"/>
    <w:rsid w:val="00937DB5"/>
    <w:rsid w:val="009608EC"/>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B25AF8"/>
    <w:rsid w:val="00B36547"/>
    <w:rsid w:val="00B46301"/>
    <w:rsid w:val="00B50D94"/>
    <w:rsid w:val="00B75672"/>
    <w:rsid w:val="00B776F3"/>
    <w:rsid w:val="00B83D00"/>
    <w:rsid w:val="00B97261"/>
    <w:rsid w:val="00BC438C"/>
    <w:rsid w:val="00BD0B97"/>
    <w:rsid w:val="00BD6F2D"/>
    <w:rsid w:val="00C236B6"/>
    <w:rsid w:val="00C316E9"/>
    <w:rsid w:val="00C37118"/>
    <w:rsid w:val="00C647A2"/>
    <w:rsid w:val="00C817CB"/>
    <w:rsid w:val="00C928FC"/>
    <w:rsid w:val="00CC1569"/>
    <w:rsid w:val="00CC306F"/>
    <w:rsid w:val="00CC41F5"/>
    <w:rsid w:val="00D107B2"/>
    <w:rsid w:val="00D16E14"/>
    <w:rsid w:val="00D4068D"/>
    <w:rsid w:val="00D86C2E"/>
    <w:rsid w:val="00DA38BD"/>
    <w:rsid w:val="00DB464E"/>
    <w:rsid w:val="00DC4487"/>
    <w:rsid w:val="00DE0604"/>
    <w:rsid w:val="00DE6CC7"/>
    <w:rsid w:val="00E0775D"/>
    <w:rsid w:val="00E3656B"/>
    <w:rsid w:val="00E446E9"/>
    <w:rsid w:val="00E55314"/>
    <w:rsid w:val="00E91983"/>
    <w:rsid w:val="00ED538A"/>
    <w:rsid w:val="00F037DB"/>
    <w:rsid w:val="00F1064F"/>
    <w:rsid w:val="00F12C0A"/>
    <w:rsid w:val="00F45ADF"/>
    <w:rsid w:val="00F63742"/>
    <w:rsid w:val="00F7182C"/>
    <w:rsid w:val="00FA1B8C"/>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styleId="NoSpacing">
    <w:name w:val="No Spacing"/>
    <w:uiPriority w:val="1"/>
    <w:qFormat/>
    <w:rsid w:val="006909F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styleId="NoSpacing">
    <w:name w:val="No Spacing"/>
    <w:uiPriority w:val="1"/>
    <w:qFormat/>
    <w:rsid w:val="006909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0516">
      <w:bodyDiv w:val="1"/>
      <w:marLeft w:val="0"/>
      <w:marRight w:val="0"/>
      <w:marTop w:val="0"/>
      <w:marBottom w:val="0"/>
      <w:divBdr>
        <w:top w:val="none" w:sz="0" w:space="0" w:color="auto"/>
        <w:left w:val="none" w:sz="0" w:space="0" w:color="auto"/>
        <w:bottom w:val="none" w:sz="0" w:space="0" w:color="auto"/>
        <w:right w:val="none" w:sz="0" w:space="0" w:color="auto"/>
      </w:divBdr>
    </w:div>
    <w:div w:id="329722023">
      <w:bodyDiv w:val="1"/>
      <w:marLeft w:val="0"/>
      <w:marRight w:val="0"/>
      <w:marTop w:val="0"/>
      <w:marBottom w:val="0"/>
      <w:divBdr>
        <w:top w:val="none" w:sz="0" w:space="0" w:color="auto"/>
        <w:left w:val="none" w:sz="0" w:space="0" w:color="auto"/>
        <w:bottom w:val="none" w:sz="0" w:space="0" w:color="auto"/>
        <w:right w:val="none" w:sz="0" w:space="0" w:color="auto"/>
      </w:divBdr>
    </w:div>
    <w:div w:id="549146997">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umailla.dar@harrow.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735E-E8B8-418B-92EA-CE07A032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5565</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16</cp:revision>
  <cp:lastPrinted>2009-12-01T14:09:00Z</cp:lastPrinted>
  <dcterms:created xsi:type="dcterms:W3CDTF">2019-05-17T11:06:00Z</dcterms:created>
  <dcterms:modified xsi:type="dcterms:W3CDTF">2019-05-21T15:30:00Z</dcterms:modified>
</cp:coreProperties>
</file>